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C2EDD">
      <w:pPr>
        <w:spacing w:before="312" w:beforeLines="100" w:after="312" w:afterLines="100"/>
        <w:jc w:val="center"/>
        <w:rPr>
          <w:rFonts w:hint="eastAsia" w:ascii="微软雅黑" w:hAnsi="微软雅黑" w:eastAsia="微软雅黑"/>
          <w:b/>
          <w:sz w:val="36"/>
          <w:szCs w:val="36"/>
        </w:rPr>
      </w:pPr>
      <w:r>
        <w:rPr>
          <w:rFonts w:hint="eastAsia" w:ascii="微软雅黑" w:hAnsi="微软雅黑" w:eastAsia="微软雅黑"/>
          <w:b/>
          <w:sz w:val="36"/>
          <w:szCs w:val="36"/>
        </w:rPr>
        <w:t>人工智能技术应用专业转专业录取办法</w:t>
      </w:r>
    </w:p>
    <w:p w14:paraId="4C8861D9">
      <w:pPr>
        <w:pStyle w:val="2"/>
        <w:spacing w:before="312" w:after="312" w:line="360" w:lineRule="auto"/>
        <w:ind w:firstLine="560" w:firstLineChars="200"/>
        <w:rPr>
          <w:rFonts w:hint="eastAsia" w:asciiTheme="minorEastAsia" w:hAnsiTheme="minorEastAsia" w:eastAsiaTheme="minorEastAsia"/>
          <w:color w:val="auto"/>
          <w:sz w:val="28"/>
          <w:szCs w:val="28"/>
        </w:rPr>
      </w:pPr>
      <w:bookmarkStart w:id="0" w:name="_Toc393236437"/>
      <w:bookmarkStart w:id="1" w:name="_Toc396497634"/>
      <w:bookmarkStart w:id="2" w:name="_Toc396497324"/>
      <w:bookmarkStart w:id="3" w:name="_Toc396497526"/>
      <w:bookmarkStart w:id="4" w:name="_Toc396501700"/>
      <w:r>
        <w:rPr>
          <w:rFonts w:hint="eastAsia" w:asciiTheme="minorEastAsia" w:hAnsiTheme="minorEastAsia" w:eastAsiaTheme="minorEastAsia"/>
          <w:color w:val="auto"/>
          <w:sz w:val="28"/>
          <w:szCs w:val="28"/>
        </w:rPr>
        <w:t>为适应高等职业教育改革与发展，充分</w:t>
      </w:r>
      <w:r>
        <w:rPr>
          <w:rFonts w:hint="eastAsia" w:ascii="Times New Roman" w:hAnsi="Calibri" w:eastAsia="宋体"/>
          <w:color w:val="auto"/>
          <w:sz w:val="28"/>
          <w:szCs w:val="28"/>
        </w:rPr>
        <w:t>体现</w:t>
      </w:r>
      <w:r>
        <w:rPr>
          <w:rFonts w:hint="eastAsia" w:asciiTheme="minorEastAsia" w:hAnsiTheme="minorEastAsia" w:eastAsiaTheme="minorEastAsia"/>
          <w:color w:val="auto"/>
          <w:sz w:val="28"/>
          <w:szCs w:val="28"/>
        </w:rPr>
        <w:t>“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14:paraId="05F99293">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一、专业基本信息</w:t>
      </w:r>
      <w:bookmarkEnd w:id="0"/>
      <w:bookmarkEnd w:id="1"/>
      <w:bookmarkEnd w:id="2"/>
      <w:bookmarkEnd w:id="3"/>
      <w:bookmarkEnd w:id="4"/>
    </w:p>
    <w:p w14:paraId="6FF0DD84">
      <w:pPr>
        <w:pStyle w:val="3"/>
        <w:spacing w:before="156" w:after="156"/>
        <w:ind w:firstLine="0" w:firstLineChars="0"/>
        <w:rPr>
          <w:rFonts w:hint="eastAsia" w:ascii="微软雅黑" w:hAnsi="微软雅黑" w:eastAsia="微软雅黑"/>
          <w:b/>
          <w:color w:val="auto"/>
        </w:rPr>
      </w:pPr>
      <w:bookmarkStart w:id="5" w:name="_Toc396497527"/>
      <w:bookmarkStart w:id="6" w:name="_Toc396497635"/>
      <w:bookmarkStart w:id="7" w:name="_Toc393236438"/>
      <w:bookmarkStart w:id="8" w:name="_Toc396501701"/>
      <w:bookmarkStart w:id="9" w:name="_Toc396497325"/>
      <w:r>
        <w:rPr>
          <w:rFonts w:ascii="微软雅黑" w:hAnsi="微软雅黑" w:eastAsia="微软雅黑"/>
          <w:b/>
          <w:color w:val="auto"/>
        </w:rPr>
        <w:t>（一）专业名称</w:t>
      </w:r>
      <w:bookmarkEnd w:id="5"/>
      <w:bookmarkEnd w:id="6"/>
      <w:bookmarkEnd w:id="7"/>
      <w:bookmarkEnd w:id="8"/>
      <w:bookmarkEnd w:id="9"/>
    </w:p>
    <w:p w14:paraId="4360C740">
      <w:pPr>
        <w:adjustRightInd w:val="0"/>
        <w:snapToGrid w:val="0"/>
        <w:spacing w:line="360" w:lineRule="auto"/>
        <w:ind w:firstLine="560" w:firstLineChars="200"/>
        <w:rPr>
          <w:rFonts w:ascii="Times New Roman" w:hAnsi="Times New Roman"/>
          <w:sz w:val="28"/>
          <w:szCs w:val="28"/>
        </w:rPr>
      </w:pPr>
      <w:r>
        <w:rPr>
          <w:rFonts w:hint="eastAsia" w:ascii="Times New Roman" w:hAnsi="Times New Roman"/>
          <w:sz w:val="28"/>
          <w:szCs w:val="28"/>
        </w:rPr>
        <w:t xml:space="preserve">人工智能技术服务 </w:t>
      </w:r>
      <w:r>
        <w:rPr>
          <w:rFonts w:ascii="Times New Roman" w:hAnsi="Times New Roman"/>
          <w:sz w:val="28"/>
          <w:szCs w:val="28"/>
        </w:rPr>
        <w:t xml:space="preserve"> </w:t>
      </w:r>
      <w:r>
        <w:rPr>
          <w:rFonts w:hint="eastAsia" w:ascii="Times New Roman" w:hAnsi="Times New Roman"/>
          <w:sz w:val="28"/>
          <w:szCs w:val="28"/>
        </w:rPr>
        <w:t xml:space="preserve">专业代码 </w:t>
      </w:r>
      <w:r>
        <w:rPr>
          <w:rFonts w:ascii="Times New Roman" w:hAnsi="Times New Roman"/>
          <w:sz w:val="28"/>
          <w:szCs w:val="28"/>
        </w:rPr>
        <w:t>510209</w:t>
      </w:r>
    </w:p>
    <w:p w14:paraId="178EC6C1">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）人才培养目标</w:t>
      </w:r>
    </w:p>
    <w:p w14:paraId="2AF58810">
      <w:pPr>
        <w:ind w:firstLine="420"/>
        <w:rPr>
          <w:rFonts w:hint="eastAsia" w:asciiTheme="minorEastAsia" w:hAnsiTheme="minorEastAsia" w:eastAsiaTheme="minorEastAsia"/>
          <w:sz w:val="28"/>
          <w:szCs w:val="28"/>
        </w:rPr>
      </w:pPr>
      <w:r>
        <w:rPr>
          <w:rFonts w:ascii="宋体" w:hAnsi="宋体"/>
          <w:sz w:val="28"/>
          <w:szCs w:val="28"/>
        </w:rPr>
        <w:t>致力于培养符合社会主义现代化建设需求的高素质人才，他们应具备德、智、体、美全面发展的素质，以及优秀的人文和科学素养，同时遵守职业道德。这些人才将精通计算机编程技术、Python语言的高级开发、人工智能数学基础、机器学习、算法设计，并具备将人工智能技术应用于智能交通、环境保护、公共安全、智能家居、工业监测和个人健康等多个领域的系统开发与实践创新能力。在综合素质方面，他们应展现出创新意识、团队合作精神、逻辑推理和综合分析能力，以及出色的实践操作和自主学习能力，能够在企事业单位中担任人工智能应用相关的开发、运维和管理工作。</w:t>
      </w:r>
    </w:p>
    <w:p w14:paraId="4A99FC87">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（三）职业岗位及发展</w:t>
      </w:r>
    </w:p>
    <w:tbl>
      <w:tblPr>
        <w:tblStyle w:val="13"/>
        <w:tblW w:w="53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830"/>
        <w:gridCol w:w="1019"/>
        <w:gridCol w:w="1417"/>
        <w:gridCol w:w="1849"/>
        <w:gridCol w:w="1314"/>
        <w:gridCol w:w="1937"/>
      </w:tblGrid>
      <w:tr w14:paraId="2095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tcMar>
              <w:left w:w="57" w:type="dxa"/>
              <w:right w:w="57" w:type="dxa"/>
            </w:tcMar>
            <w:vAlign w:val="center"/>
          </w:tcPr>
          <w:p w14:paraId="29968B6A">
            <w:pPr>
              <w:pStyle w:val="107"/>
              <w:rPr>
                <w:rFonts w:cs="宋体"/>
                <w:sz w:val="24"/>
                <w:szCs w:val="24"/>
              </w:rPr>
            </w:pPr>
            <w:r>
              <w:rPr>
                <w:rFonts w:hint="eastAsia" w:cs="宋体"/>
                <w:sz w:val="24"/>
                <w:szCs w:val="24"/>
              </w:rPr>
              <w:t>专业大类（代码）</w:t>
            </w:r>
          </w:p>
        </w:tc>
        <w:tc>
          <w:tcPr>
            <w:tcW w:w="462" w:type="pct"/>
            <w:tcMar>
              <w:left w:w="57" w:type="dxa"/>
              <w:right w:w="57" w:type="dxa"/>
            </w:tcMar>
            <w:vAlign w:val="center"/>
          </w:tcPr>
          <w:p w14:paraId="560863CA">
            <w:pPr>
              <w:pStyle w:val="107"/>
              <w:rPr>
                <w:rFonts w:cs="宋体"/>
                <w:sz w:val="24"/>
                <w:szCs w:val="24"/>
              </w:rPr>
            </w:pPr>
            <w:r>
              <w:rPr>
                <w:rFonts w:hint="eastAsia" w:cs="宋体"/>
                <w:sz w:val="24"/>
                <w:szCs w:val="24"/>
              </w:rPr>
              <w:t>专业类</w:t>
            </w:r>
          </w:p>
          <w:p w14:paraId="069A9979">
            <w:pPr>
              <w:pStyle w:val="107"/>
              <w:rPr>
                <w:rFonts w:cs="宋体"/>
                <w:sz w:val="24"/>
                <w:szCs w:val="24"/>
              </w:rPr>
            </w:pPr>
            <w:r>
              <w:rPr>
                <w:rFonts w:hint="eastAsia" w:cs="宋体"/>
                <w:sz w:val="24"/>
                <w:szCs w:val="24"/>
              </w:rPr>
              <w:t>（代码）</w:t>
            </w:r>
          </w:p>
        </w:tc>
        <w:tc>
          <w:tcPr>
            <w:tcW w:w="567" w:type="pct"/>
            <w:tcMar>
              <w:left w:w="57" w:type="dxa"/>
              <w:right w:w="57" w:type="dxa"/>
            </w:tcMar>
            <w:vAlign w:val="center"/>
          </w:tcPr>
          <w:p w14:paraId="6838BA27">
            <w:pPr>
              <w:pStyle w:val="107"/>
              <w:rPr>
                <w:rFonts w:cs="宋体"/>
                <w:sz w:val="24"/>
                <w:szCs w:val="24"/>
              </w:rPr>
            </w:pPr>
            <w:r>
              <w:rPr>
                <w:rFonts w:hint="eastAsia" w:cs="宋体"/>
                <w:sz w:val="24"/>
                <w:szCs w:val="24"/>
              </w:rPr>
              <w:t>主要面向的行业</w:t>
            </w:r>
          </w:p>
          <w:p w14:paraId="311F4DA5">
            <w:pPr>
              <w:pStyle w:val="107"/>
              <w:rPr>
                <w:rFonts w:cs="宋体"/>
                <w:sz w:val="24"/>
                <w:szCs w:val="24"/>
              </w:rPr>
            </w:pPr>
            <w:r>
              <w:rPr>
                <w:rFonts w:hint="eastAsia" w:cs="宋体"/>
                <w:sz w:val="24"/>
                <w:szCs w:val="24"/>
              </w:rPr>
              <w:t>（代码）</w:t>
            </w:r>
          </w:p>
        </w:tc>
        <w:tc>
          <w:tcPr>
            <w:tcW w:w="789" w:type="pct"/>
            <w:tcMar>
              <w:left w:w="57" w:type="dxa"/>
              <w:right w:w="57" w:type="dxa"/>
            </w:tcMar>
            <w:vAlign w:val="center"/>
          </w:tcPr>
          <w:p w14:paraId="471655B1">
            <w:pPr>
              <w:pStyle w:val="107"/>
              <w:rPr>
                <w:rFonts w:cs="宋体"/>
                <w:sz w:val="24"/>
                <w:szCs w:val="24"/>
              </w:rPr>
            </w:pPr>
            <w:r>
              <w:rPr>
                <w:rFonts w:hint="eastAsia" w:cs="宋体"/>
                <w:sz w:val="24"/>
                <w:szCs w:val="24"/>
              </w:rPr>
              <w:t>专业名称</w:t>
            </w:r>
          </w:p>
          <w:p w14:paraId="2C17515A">
            <w:pPr>
              <w:pStyle w:val="107"/>
              <w:rPr>
                <w:rFonts w:cs="宋体"/>
                <w:sz w:val="24"/>
                <w:szCs w:val="24"/>
              </w:rPr>
            </w:pPr>
            <w:r>
              <w:rPr>
                <w:rFonts w:hint="eastAsia" w:cs="宋体"/>
                <w:sz w:val="24"/>
                <w:szCs w:val="24"/>
              </w:rPr>
              <w:t>（代码）</w:t>
            </w:r>
          </w:p>
        </w:tc>
        <w:tc>
          <w:tcPr>
            <w:tcW w:w="1029" w:type="pct"/>
            <w:tcMar>
              <w:left w:w="57" w:type="dxa"/>
              <w:right w:w="57" w:type="dxa"/>
            </w:tcMar>
            <w:vAlign w:val="center"/>
          </w:tcPr>
          <w:p w14:paraId="78B42A69">
            <w:pPr>
              <w:pStyle w:val="107"/>
              <w:rPr>
                <w:rFonts w:cs="宋体"/>
                <w:sz w:val="24"/>
                <w:szCs w:val="24"/>
              </w:rPr>
            </w:pPr>
            <w:r>
              <w:rPr>
                <w:rFonts w:hint="eastAsia" w:cs="宋体"/>
                <w:sz w:val="24"/>
                <w:szCs w:val="24"/>
              </w:rPr>
              <w:t>主要面向的职业类别</w:t>
            </w:r>
          </w:p>
          <w:p w14:paraId="0FA9D9AF">
            <w:pPr>
              <w:pStyle w:val="107"/>
              <w:rPr>
                <w:rFonts w:cs="宋体"/>
                <w:sz w:val="24"/>
                <w:szCs w:val="24"/>
              </w:rPr>
            </w:pPr>
            <w:r>
              <w:rPr>
                <w:rFonts w:hint="eastAsia" w:cs="宋体"/>
                <w:sz w:val="24"/>
                <w:szCs w:val="24"/>
              </w:rPr>
              <w:t>（代码）</w:t>
            </w:r>
          </w:p>
        </w:tc>
        <w:tc>
          <w:tcPr>
            <w:tcW w:w="732" w:type="pct"/>
            <w:tcMar>
              <w:left w:w="57" w:type="dxa"/>
              <w:right w:w="57" w:type="dxa"/>
            </w:tcMar>
            <w:vAlign w:val="center"/>
          </w:tcPr>
          <w:p w14:paraId="0C0345E7">
            <w:pPr>
              <w:pStyle w:val="107"/>
              <w:rPr>
                <w:rFonts w:cs="宋体"/>
                <w:sz w:val="24"/>
                <w:szCs w:val="24"/>
              </w:rPr>
            </w:pPr>
            <w:r>
              <w:rPr>
                <w:rFonts w:hint="eastAsia" w:cs="宋体"/>
                <w:sz w:val="24"/>
                <w:szCs w:val="24"/>
              </w:rPr>
              <w:t>主要就业的岗位群</w:t>
            </w:r>
          </w:p>
        </w:tc>
        <w:tc>
          <w:tcPr>
            <w:tcW w:w="1078" w:type="pct"/>
            <w:tcMar>
              <w:left w:w="57" w:type="dxa"/>
              <w:right w:w="57" w:type="dxa"/>
            </w:tcMar>
            <w:vAlign w:val="center"/>
          </w:tcPr>
          <w:p w14:paraId="297E0EA2">
            <w:pPr>
              <w:pStyle w:val="107"/>
              <w:rPr>
                <w:rFonts w:cs="宋体"/>
                <w:sz w:val="24"/>
                <w:szCs w:val="24"/>
              </w:rPr>
            </w:pPr>
            <w:r>
              <w:rPr>
                <w:rFonts w:hint="eastAsia" w:cs="宋体"/>
                <w:sz w:val="24"/>
                <w:szCs w:val="24"/>
              </w:rPr>
              <w:t>职业资格或职业技能等级证书举例</w:t>
            </w:r>
          </w:p>
        </w:tc>
      </w:tr>
      <w:tr w14:paraId="38A2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1" w:hRule="atLeast"/>
        </w:trPr>
        <w:tc>
          <w:tcPr>
            <w:tcW w:w="340" w:type="pct"/>
            <w:tcMar>
              <w:left w:w="57" w:type="dxa"/>
              <w:right w:w="57" w:type="dxa"/>
            </w:tcMar>
            <w:vAlign w:val="center"/>
          </w:tcPr>
          <w:p w14:paraId="283CE885">
            <w:pPr>
              <w:pStyle w:val="107"/>
              <w:rPr>
                <w:rFonts w:cs="宋体"/>
                <w:sz w:val="24"/>
                <w:szCs w:val="24"/>
              </w:rPr>
            </w:pPr>
            <w:r>
              <w:rPr>
                <w:rFonts w:hint="eastAsia" w:cs="宋体"/>
                <w:sz w:val="24"/>
                <w:szCs w:val="24"/>
              </w:rPr>
              <w:t>电子信息大类</w:t>
            </w:r>
          </w:p>
          <w:p w14:paraId="46625F4D">
            <w:pPr>
              <w:pStyle w:val="107"/>
              <w:rPr>
                <w:rFonts w:cs="宋体"/>
                <w:sz w:val="24"/>
                <w:szCs w:val="24"/>
              </w:rPr>
            </w:pPr>
            <w:r>
              <w:rPr>
                <w:rFonts w:hint="eastAsia" w:cs="宋体"/>
                <w:sz w:val="24"/>
                <w:szCs w:val="24"/>
              </w:rPr>
              <w:t>(51)</w:t>
            </w:r>
          </w:p>
        </w:tc>
        <w:tc>
          <w:tcPr>
            <w:tcW w:w="462" w:type="pct"/>
            <w:tcMar>
              <w:left w:w="57" w:type="dxa"/>
              <w:right w:w="57" w:type="dxa"/>
            </w:tcMar>
            <w:vAlign w:val="center"/>
          </w:tcPr>
          <w:p w14:paraId="70DD1A98">
            <w:pPr>
              <w:pStyle w:val="107"/>
              <w:rPr>
                <w:rFonts w:cs="宋体"/>
                <w:sz w:val="24"/>
                <w:szCs w:val="24"/>
              </w:rPr>
            </w:pPr>
            <w:r>
              <w:rPr>
                <w:rFonts w:hint="eastAsia" w:cs="宋体"/>
                <w:sz w:val="24"/>
                <w:szCs w:val="24"/>
              </w:rPr>
              <w:t>计算机类</w:t>
            </w:r>
          </w:p>
          <w:p w14:paraId="732D8B41">
            <w:pPr>
              <w:pStyle w:val="107"/>
              <w:rPr>
                <w:rFonts w:cs="宋体"/>
                <w:sz w:val="24"/>
                <w:szCs w:val="24"/>
              </w:rPr>
            </w:pPr>
            <w:r>
              <w:rPr>
                <w:rFonts w:hint="eastAsia" w:cs="宋体"/>
                <w:sz w:val="24"/>
                <w:szCs w:val="24"/>
              </w:rPr>
              <w:t>(5102)</w:t>
            </w:r>
          </w:p>
        </w:tc>
        <w:tc>
          <w:tcPr>
            <w:tcW w:w="567" w:type="pct"/>
            <w:tcMar>
              <w:left w:w="57" w:type="dxa"/>
              <w:right w:w="57" w:type="dxa"/>
            </w:tcMar>
            <w:vAlign w:val="center"/>
          </w:tcPr>
          <w:p w14:paraId="68FFEF7F">
            <w:pPr>
              <w:pStyle w:val="107"/>
              <w:rPr>
                <w:rFonts w:cs="宋体"/>
                <w:sz w:val="24"/>
                <w:szCs w:val="24"/>
              </w:rPr>
            </w:pPr>
            <w:r>
              <w:rPr>
                <w:rFonts w:hint="eastAsia" w:cs="宋体"/>
                <w:sz w:val="24"/>
                <w:szCs w:val="24"/>
              </w:rPr>
              <w:t>软件和信息技术服务业（</w:t>
            </w:r>
            <w:r>
              <w:rPr>
                <w:rFonts w:cs="宋体"/>
                <w:sz w:val="24"/>
                <w:szCs w:val="24"/>
              </w:rPr>
              <w:t>4</w:t>
            </w:r>
            <w:r>
              <w:rPr>
                <w:rFonts w:hint="eastAsia" w:cs="宋体"/>
                <w:sz w:val="24"/>
                <w:szCs w:val="24"/>
              </w:rPr>
              <w:t>-</w:t>
            </w:r>
            <w:r>
              <w:rPr>
                <w:rFonts w:cs="宋体"/>
                <w:sz w:val="24"/>
                <w:szCs w:val="24"/>
              </w:rPr>
              <w:t>04</w:t>
            </w:r>
            <w:r>
              <w:rPr>
                <w:rFonts w:hint="eastAsia" w:cs="宋体"/>
                <w:sz w:val="24"/>
                <w:szCs w:val="24"/>
              </w:rPr>
              <w:t>-</w:t>
            </w:r>
            <w:r>
              <w:rPr>
                <w:rFonts w:cs="宋体"/>
                <w:sz w:val="24"/>
                <w:szCs w:val="24"/>
              </w:rPr>
              <w:t>05</w:t>
            </w:r>
            <w:r>
              <w:rPr>
                <w:rFonts w:hint="eastAsia" w:cs="宋体"/>
                <w:sz w:val="24"/>
                <w:szCs w:val="24"/>
              </w:rPr>
              <w:t>）</w:t>
            </w:r>
          </w:p>
          <w:p w14:paraId="7A8704C5">
            <w:pPr>
              <w:pStyle w:val="107"/>
              <w:rPr>
                <w:rFonts w:cs="宋体"/>
                <w:sz w:val="24"/>
                <w:szCs w:val="24"/>
              </w:rPr>
            </w:pPr>
            <w:r>
              <w:rPr>
                <w:rFonts w:hint="eastAsia" w:cs="宋体"/>
                <w:sz w:val="24"/>
                <w:szCs w:val="24"/>
              </w:rPr>
              <w:t>信息与通信工程技术人员（2-</w:t>
            </w:r>
            <w:r>
              <w:rPr>
                <w:rFonts w:cs="宋体"/>
                <w:sz w:val="24"/>
                <w:szCs w:val="24"/>
              </w:rPr>
              <w:t>02</w:t>
            </w:r>
            <w:r>
              <w:rPr>
                <w:rFonts w:hint="eastAsia" w:cs="宋体"/>
                <w:sz w:val="24"/>
                <w:szCs w:val="24"/>
              </w:rPr>
              <w:t>-</w:t>
            </w:r>
            <w:r>
              <w:rPr>
                <w:rFonts w:cs="宋体"/>
                <w:sz w:val="24"/>
                <w:szCs w:val="24"/>
              </w:rPr>
              <w:t>10</w:t>
            </w:r>
            <w:r>
              <w:rPr>
                <w:rFonts w:hint="eastAsia" w:cs="宋体"/>
                <w:sz w:val="24"/>
                <w:szCs w:val="24"/>
              </w:rPr>
              <w:t>）</w:t>
            </w:r>
          </w:p>
        </w:tc>
        <w:tc>
          <w:tcPr>
            <w:tcW w:w="789" w:type="pct"/>
            <w:tcMar>
              <w:left w:w="57" w:type="dxa"/>
              <w:right w:w="57" w:type="dxa"/>
            </w:tcMar>
            <w:vAlign w:val="center"/>
          </w:tcPr>
          <w:p w14:paraId="06903DF8">
            <w:pPr>
              <w:pStyle w:val="107"/>
              <w:jc w:val="left"/>
              <w:rPr>
                <w:rFonts w:cs="宋体"/>
                <w:sz w:val="24"/>
                <w:szCs w:val="24"/>
              </w:rPr>
            </w:pPr>
            <w:r>
              <w:rPr>
                <w:rFonts w:hint="eastAsia" w:cs="宋体"/>
                <w:sz w:val="24"/>
                <w:szCs w:val="24"/>
              </w:rPr>
              <w:t>人工智能技术服务  （510209）</w:t>
            </w:r>
          </w:p>
        </w:tc>
        <w:tc>
          <w:tcPr>
            <w:tcW w:w="1029" w:type="pct"/>
            <w:tcMar>
              <w:left w:w="57" w:type="dxa"/>
              <w:right w:w="57" w:type="dxa"/>
            </w:tcMar>
            <w:vAlign w:val="center"/>
          </w:tcPr>
          <w:p w14:paraId="51954B71">
            <w:pPr>
              <w:pStyle w:val="107"/>
              <w:jc w:val="left"/>
              <w:rPr>
                <w:rFonts w:cs="宋体"/>
                <w:sz w:val="24"/>
                <w:szCs w:val="24"/>
              </w:rPr>
            </w:pPr>
          </w:p>
        </w:tc>
        <w:tc>
          <w:tcPr>
            <w:tcW w:w="732" w:type="pct"/>
            <w:tcMar>
              <w:left w:w="57" w:type="dxa"/>
              <w:right w:w="57" w:type="dxa"/>
            </w:tcMar>
            <w:vAlign w:val="center"/>
          </w:tcPr>
          <w:p w14:paraId="6FF61417">
            <w:pPr>
              <w:pStyle w:val="107"/>
              <w:rPr>
                <w:rFonts w:cs="宋体"/>
                <w:sz w:val="24"/>
                <w:szCs w:val="24"/>
              </w:rPr>
            </w:pPr>
            <w:r>
              <w:rPr>
                <w:rFonts w:hint="eastAsia" w:cs="宋体"/>
                <w:sz w:val="24"/>
                <w:szCs w:val="24"/>
              </w:rPr>
              <w:t>实施工程师，运营工程师，运维工程师，技术支持工程师；机器学习工程师；</w:t>
            </w:r>
          </w:p>
          <w:p w14:paraId="6B1B7B33">
            <w:pPr>
              <w:pStyle w:val="107"/>
              <w:jc w:val="left"/>
              <w:rPr>
                <w:rFonts w:cs="宋体"/>
                <w:sz w:val="24"/>
                <w:szCs w:val="24"/>
              </w:rPr>
            </w:pPr>
            <w:r>
              <w:rPr>
                <w:rFonts w:hint="eastAsia" w:cs="宋体"/>
                <w:sz w:val="24"/>
                <w:szCs w:val="24"/>
              </w:rPr>
              <w:t>人工智能产品销售</w:t>
            </w:r>
          </w:p>
        </w:tc>
        <w:tc>
          <w:tcPr>
            <w:tcW w:w="1078" w:type="pct"/>
            <w:tcMar>
              <w:left w:w="57" w:type="dxa"/>
              <w:right w:w="57" w:type="dxa"/>
            </w:tcMar>
            <w:vAlign w:val="center"/>
          </w:tcPr>
          <w:p w14:paraId="7EFC5BA4">
            <w:pPr>
              <w:pStyle w:val="107"/>
              <w:rPr>
                <w:rFonts w:cs="宋体"/>
                <w:sz w:val="24"/>
                <w:szCs w:val="24"/>
              </w:rPr>
            </w:pPr>
            <w:r>
              <w:rPr>
                <w:rFonts w:hint="eastAsia" w:cs="宋体"/>
                <w:sz w:val="24"/>
                <w:szCs w:val="24"/>
              </w:rPr>
              <w:t>1+X机器视觉证书；</w:t>
            </w:r>
          </w:p>
          <w:p w14:paraId="4EDB1423">
            <w:pPr>
              <w:pStyle w:val="107"/>
              <w:rPr>
                <w:rFonts w:cs="宋体"/>
                <w:sz w:val="24"/>
                <w:szCs w:val="24"/>
              </w:rPr>
            </w:pPr>
            <w:r>
              <w:rPr>
                <w:rFonts w:hint="eastAsia" w:cs="宋体"/>
                <w:sz w:val="24"/>
                <w:szCs w:val="24"/>
              </w:rPr>
              <w:t>人工智能开发工程师（工信部）；</w:t>
            </w:r>
          </w:p>
          <w:p w14:paraId="672E62DF">
            <w:pPr>
              <w:pStyle w:val="107"/>
              <w:jc w:val="left"/>
              <w:rPr>
                <w:rFonts w:cs="宋体"/>
                <w:sz w:val="24"/>
                <w:szCs w:val="24"/>
              </w:rPr>
            </w:pPr>
            <w:r>
              <w:rPr>
                <w:rFonts w:hint="eastAsia" w:cs="宋体"/>
                <w:sz w:val="24"/>
                <w:szCs w:val="24"/>
              </w:rPr>
              <w:t>人工智能(AI图像识别）（工信部）</w:t>
            </w:r>
          </w:p>
        </w:tc>
      </w:tr>
    </w:tbl>
    <w:p w14:paraId="25F551D0">
      <w:pPr>
        <w:ind w:firstLine="555"/>
        <w:rPr>
          <w:rFonts w:hint="eastAsia" w:ascii="宋体" w:hAnsi="宋体"/>
          <w:b/>
          <w:sz w:val="24"/>
        </w:rPr>
      </w:pPr>
    </w:p>
    <w:p w14:paraId="25B0B8D2">
      <w:r>
        <w:rPr>
          <w:rFonts w:hint="eastAsia"/>
        </w:rPr>
        <w:t xml:space="preserve">  </w:t>
      </w:r>
    </w:p>
    <w:p w14:paraId="5C9B8D22">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（四）毕业资格条件</w:t>
      </w:r>
    </w:p>
    <w:p w14:paraId="330DC298">
      <w:pPr>
        <w:pStyle w:val="3"/>
        <w:spacing w:before="156" w:after="156"/>
        <w:rPr>
          <w:rFonts w:hint="eastAsia"/>
        </w:rPr>
      </w:pPr>
      <w:bookmarkStart w:id="10" w:name="_Toc198108025"/>
      <w:bookmarkStart w:id="11" w:name="_Toc18791"/>
      <w:bookmarkStart w:id="12" w:name="_Toc396501702"/>
      <w:bookmarkStart w:id="13" w:name="_Toc393236439"/>
      <w:bookmarkStart w:id="14" w:name="_Toc396497636"/>
      <w:bookmarkStart w:id="15" w:name="_Toc396497326"/>
      <w:bookmarkStart w:id="16" w:name="_Toc396497528"/>
      <w:r>
        <w:rPr>
          <w:rFonts w:hint="eastAsia"/>
        </w:rPr>
        <w:t>（一）毕业学分要求</w:t>
      </w:r>
      <w:bookmarkEnd w:id="10"/>
      <w:bookmarkEnd w:id="11"/>
    </w:p>
    <w:p w14:paraId="31EF13A4">
      <w:pPr>
        <w:spacing w:line="560" w:lineRule="exact"/>
        <w:ind w:firstLine="840" w:firstLineChars="300"/>
        <w:rPr>
          <w:rFonts w:hint="eastAsia" w:asciiTheme="minorEastAsia" w:hAnsiTheme="minorEastAsia" w:eastAsiaTheme="minorEastAsia"/>
          <w:sz w:val="28"/>
          <w:szCs w:val="32"/>
        </w:rPr>
      </w:pPr>
      <w:r>
        <w:rPr>
          <w:rFonts w:hint="eastAsia" w:asciiTheme="minorEastAsia" w:hAnsiTheme="minorEastAsia" w:eastAsiaTheme="minorEastAsia"/>
          <w:color w:val="000000" w:themeColor="text1"/>
          <w:sz w:val="28"/>
          <w:szCs w:val="32"/>
          <w14:textFill>
            <w14:solidFill>
              <w14:schemeClr w14:val="tx1"/>
            </w14:solidFill>
          </w14:textFill>
        </w:rPr>
        <w:t xml:space="preserve">为保证学生素质的全面提升，学生毕业共须修满162学分，其中通识必修课应修满49学分（含公共任选课4学分）；专业课应修满68学分；素质拓展与社会实践课程修满至少6学分。各类课程学分可根据《江苏海院学分积累、转换和认定办法》和《人工智能技术应用专业学分积累、转换和认定办法》予以认定。 </w:t>
      </w:r>
      <w:r>
        <w:rPr>
          <w:rFonts w:hint="eastAsia" w:asciiTheme="minorEastAsia" w:hAnsiTheme="minorEastAsia" w:eastAsiaTheme="minorEastAsia"/>
          <w:sz w:val="28"/>
          <w:szCs w:val="32"/>
        </w:rPr>
        <w:t xml:space="preserve"> </w:t>
      </w:r>
    </w:p>
    <w:p w14:paraId="3BD14CED">
      <w:pPr>
        <w:pStyle w:val="3"/>
        <w:spacing w:before="156" w:after="156"/>
        <w:rPr>
          <w:rFonts w:hint="eastAsia"/>
        </w:rPr>
      </w:pPr>
      <w:bookmarkStart w:id="17" w:name="_Toc198108026"/>
      <w:bookmarkStart w:id="18" w:name="_Toc6986"/>
      <w:r>
        <w:rPr>
          <w:rFonts w:hint="eastAsia"/>
        </w:rPr>
        <w:t>（二）计算机证书要求</w:t>
      </w:r>
      <w:bookmarkEnd w:id="17"/>
      <w:bookmarkEnd w:id="18"/>
    </w:p>
    <w:p w14:paraId="1A3C53DE">
      <w:pPr>
        <w:spacing w:line="560" w:lineRule="exact"/>
        <w:ind w:firstLine="840" w:firstLineChars="300"/>
        <w:rPr>
          <w:rFonts w:hint="eastAsia" w:asciiTheme="minorEastAsia" w:hAnsiTheme="minorEastAsia" w:eastAsiaTheme="minorEastAsia"/>
          <w:color w:val="000000" w:themeColor="text1"/>
          <w:sz w:val="28"/>
          <w:szCs w:val="28"/>
          <w14:textFill>
            <w14:solidFill>
              <w14:schemeClr w14:val="tx1"/>
            </w14:solidFill>
          </w14:textFill>
        </w:rPr>
      </w:pPr>
      <w:bookmarkStart w:id="19" w:name="_Toc198108027"/>
      <w:r>
        <w:rPr>
          <w:rFonts w:hint="eastAsia" w:asciiTheme="minorEastAsia" w:hAnsiTheme="minorEastAsia" w:eastAsiaTheme="minorEastAsia"/>
          <w:color w:val="000000" w:themeColor="text1"/>
          <w:sz w:val="28"/>
          <w:szCs w:val="28"/>
          <w14:textFill>
            <w14:solidFill>
              <w14:schemeClr w14:val="tx1"/>
            </w14:solidFill>
          </w14:textFill>
        </w:rPr>
        <w:t>本专业对计算机等级证书不作要求。信息技术类课程实现课证融通，即学生考取计算机信息高新技术考试证书（ATA）或全国计算机等级考试（NCRE）证书可申请信息技术类课程免修，直接置换对应学分和成绩。</w:t>
      </w:r>
    </w:p>
    <w:bookmarkEnd w:id="19"/>
    <w:p w14:paraId="577CE774">
      <w:pPr>
        <w:pStyle w:val="3"/>
        <w:spacing w:before="156" w:after="156"/>
        <w:rPr>
          <w:rFonts w:hint="eastAsia"/>
        </w:rPr>
      </w:pPr>
      <w:bookmarkStart w:id="20" w:name="_Toc27528"/>
      <w:bookmarkStart w:id="21" w:name="_Toc198108028"/>
      <w:r>
        <w:rPr>
          <w:rFonts w:hint="eastAsia"/>
        </w:rPr>
        <w:t>（三）外语等级考试要求</w:t>
      </w:r>
      <w:bookmarkEnd w:id="20"/>
    </w:p>
    <w:p w14:paraId="43A358F7">
      <w:pPr>
        <w:spacing w:line="560" w:lineRule="exact"/>
        <w:ind w:firstLine="843" w:firstLineChars="300"/>
        <w:rPr>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本专业对外语等级证书不作要求。</w:t>
      </w:r>
      <w:r>
        <w:rPr>
          <w:rFonts w:hint="eastAsia"/>
          <w:color w:val="000000" w:themeColor="text1"/>
          <w:sz w:val="28"/>
          <w:szCs w:val="28"/>
          <w14:textFill>
            <w14:solidFill>
              <w14:schemeClr w14:val="tx1"/>
            </w14:solidFill>
          </w14:textFill>
        </w:rPr>
        <w:t>为鼓励学生考取外语等级证书，学生获得相关证书后，可依据《江苏海事职业技术学院学习成果认定、积累与转换管理办法》申请相应课程的免修、免考或免听，经批准后，可认定外语类课程的两个学期学分和成绩。</w:t>
      </w:r>
    </w:p>
    <w:p w14:paraId="14002F16">
      <w:pPr>
        <w:pStyle w:val="3"/>
        <w:spacing w:before="156" w:after="156"/>
        <w:rPr>
          <w:rFonts w:hint="eastAsia"/>
        </w:rPr>
      </w:pPr>
      <w:bookmarkStart w:id="22" w:name="_Toc32716"/>
      <w:r>
        <w:rPr>
          <w:rFonts w:hint="eastAsia"/>
        </w:rPr>
        <w:t>（四）职业技能或职业资格证书要求</w:t>
      </w:r>
      <w:bookmarkEnd w:id="22"/>
    </w:p>
    <w:p w14:paraId="07BAEC18">
      <w:pPr>
        <w:spacing w:line="560" w:lineRule="exact"/>
        <w:ind w:firstLine="562" w:firstLineChars="200"/>
        <w:rPr>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本专业对职业技能或职业资格证书不作要求</w:t>
      </w:r>
      <w:r>
        <w:rPr>
          <w:rFonts w:hint="eastAsia"/>
          <w:color w:val="000000" w:themeColor="text1"/>
          <w:sz w:val="28"/>
          <w:szCs w:val="28"/>
          <w14:textFill>
            <w14:solidFill>
              <w14:schemeClr w14:val="tx1"/>
            </w14:solidFill>
          </w14:textFill>
        </w:rPr>
        <w:t>。为鼓励学生考取相关证书（建议获取证书如下：</w:t>
      </w:r>
      <w:r>
        <w:rPr>
          <w:rFonts w:hint="eastAsia"/>
          <w:b/>
          <w:bCs/>
          <w:color w:val="000000" w:themeColor="text1"/>
          <w:sz w:val="28"/>
          <w:szCs w:val="28"/>
          <w14:textFill>
            <w14:solidFill>
              <w14:schemeClr w14:val="tx1"/>
            </w14:solidFill>
          </w14:textFill>
        </w:rPr>
        <w:t>人工智能训练师、软件水平与资格（程序员初级）</w:t>
      </w:r>
      <w:r>
        <w:rPr>
          <w:rFonts w:hint="eastAsia"/>
          <w:color w:val="000000" w:themeColor="text1"/>
          <w:sz w:val="28"/>
          <w:szCs w:val="28"/>
          <w14:textFill>
            <w14:solidFill>
              <w14:schemeClr w14:val="tx1"/>
            </w14:solidFill>
          </w14:textFill>
        </w:rPr>
        <w:t>），学生获得建议证书以及与本专业相关的其它职业技能或职业资格证书，可依据《江苏海事职业技术学院学习成果认定、积累与转换管理办法》申请相应课程的免修、免考或免听，经批准后，可认定与转换为对应课程学分和成绩。</w:t>
      </w:r>
    </w:p>
    <w:p w14:paraId="72BCFC26">
      <w:pPr>
        <w:pStyle w:val="3"/>
        <w:spacing w:before="156" w:after="156"/>
        <w:rPr>
          <w:rFonts w:hint="eastAsia"/>
        </w:rPr>
      </w:pPr>
      <w:bookmarkStart w:id="23" w:name="_Toc28663"/>
      <w:r>
        <w:rPr>
          <w:rFonts w:hint="eastAsia"/>
        </w:rPr>
        <w:t>（五）学生思想品德考核要求</w:t>
      </w:r>
      <w:bookmarkEnd w:id="23"/>
    </w:p>
    <w:p w14:paraId="57DC676A">
      <w:pPr>
        <w:spacing w:line="560" w:lineRule="exact"/>
        <w:ind w:firstLine="840" w:firstLineChars="3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学生毕业前思想品德考核必须为合格以上，由学生工作处负责考核、鉴定。</w:t>
      </w:r>
    </w:p>
    <w:bookmarkEnd w:id="21"/>
    <w:p w14:paraId="0BAE738C">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转专业录取办法</w:t>
      </w:r>
    </w:p>
    <w:p w14:paraId="2AB506A7">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一</w:t>
      </w:r>
      <w:r>
        <w:rPr>
          <w:rFonts w:ascii="微软雅黑" w:hAnsi="微软雅黑" w:eastAsia="微软雅黑"/>
          <w:b/>
          <w:color w:val="auto"/>
          <w:sz w:val="28"/>
          <w:szCs w:val="28"/>
        </w:rPr>
        <w:t>）</w:t>
      </w:r>
      <w:r>
        <w:rPr>
          <w:rFonts w:hint="eastAsia" w:ascii="微软雅黑" w:hAnsi="微软雅黑" w:eastAsia="微软雅黑"/>
          <w:b/>
          <w:color w:val="auto"/>
          <w:sz w:val="28"/>
          <w:szCs w:val="28"/>
        </w:rPr>
        <w:t>接受对象</w:t>
      </w:r>
    </w:p>
    <w:bookmarkEnd w:id="12"/>
    <w:bookmarkEnd w:id="13"/>
    <w:bookmarkEnd w:id="14"/>
    <w:bookmarkEnd w:id="15"/>
    <w:bookmarkEnd w:id="16"/>
    <w:p w14:paraId="41624FB0">
      <w:pPr>
        <w:adjustRightInd w:val="0"/>
        <w:snapToGrid w:val="0"/>
        <w:spacing w:line="360" w:lineRule="auto"/>
        <w:ind w:firstLine="480"/>
        <w:rPr>
          <w:rFonts w:ascii="Times New Roman" w:hAnsi="Times New Roman"/>
          <w:sz w:val="28"/>
          <w:szCs w:val="28"/>
        </w:rPr>
      </w:pPr>
      <w:r>
        <w:rPr>
          <w:rFonts w:hint="eastAsia" w:ascii="Times New Roman" w:hAnsi="Times New Roman"/>
          <w:sz w:val="28"/>
          <w:szCs w:val="28"/>
        </w:rPr>
        <w:t>符合《江苏海事职业技术学院学生学籍管理办法》中转专业规定的相关学生，同时满足以下条件：</w:t>
      </w:r>
    </w:p>
    <w:p w14:paraId="625105F5">
      <w:pPr>
        <w:pStyle w:val="106"/>
        <w:numPr>
          <w:ilvl w:val="0"/>
          <w:numId w:val="1"/>
        </w:numPr>
        <w:ind w:firstLineChars="0"/>
        <w:rPr>
          <w:rFonts w:ascii="Times New Roman" w:hAnsi="Times New Roman" w:cs="Times New Roman"/>
          <w:color w:val="000000"/>
          <w:kern w:val="2"/>
          <w:sz w:val="28"/>
          <w:szCs w:val="28"/>
        </w:rPr>
      </w:pPr>
      <w:r>
        <w:rPr>
          <w:rFonts w:hint="eastAsia" w:ascii="Times New Roman" w:hAnsi="Times New Roman" w:cs="Times New Roman"/>
          <w:color w:val="000000"/>
          <w:kern w:val="2"/>
          <w:sz w:val="28"/>
          <w:szCs w:val="28"/>
        </w:rPr>
        <w:t>统招高考为理科类学生；</w:t>
      </w:r>
    </w:p>
    <w:p w14:paraId="429759A0">
      <w:pPr>
        <w:pStyle w:val="2"/>
        <w:numPr>
          <w:ilvl w:val="0"/>
          <w:numId w:val="1"/>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政治思想表现优良，遵守学校各项规章制度，未受到记过及以上处分；</w:t>
      </w:r>
    </w:p>
    <w:p w14:paraId="220A7E9E">
      <w:pPr>
        <w:pStyle w:val="2"/>
        <w:numPr>
          <w:ilvl w:val="0"/>
          <w:numId w:val="1"/>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未办理过转专业者；</w:t>
      </w:r>
    </w:p>
    <w:p w14:paraId="3F49C236">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对计算机类相关专业有较高兴趣；</w:t>
      </w:r>
    </w:p>
    <w:p w14:paraId="60BD945A">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所修课程全部合格；</w:t>
      </w:r>
      <w:r>
        <w:t> </w:t>
      </w:r>
    </w:p>
    <w:p w14:paraId="33CCF350">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获得过计算机相关等级证书、计算机相关竞赛以及数学相关竞赛的学生可以不受第</w:t>
      </w:r>
      <w:r>
        <w:rPr>
          <w:rFonts w:hint="eastAsia" w:ascii="Times New Roman" w:hAnsi="Times New Roman"/>
          <w:sz w:val="28"/>
          <w:szCs w:val="28"/>
          <w:lang w:val="en-US" w:eastAsia="zh-CN"/>
        </w:rPr>
        <w:t>5</w:t>
      </w:r>
      <w:r>
        <w:rPr>
          <w:rFonts w:hint="eastAsia" w:ascii="Times New Roman" w:hAnsi="Times New Roman"/>
          <w:sz w:val="28"/>
          <w:szCs w:val="28"/>
        </w:rPr>
        <w:t>条要求限制。</w:t>
      </w:r>
    </w:p>
    <w:p w14:paraId="76579EA9">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遴选方案</w:t>
      </w:r>
      <w:bookmarkStart w:id="24" w:name="_GoBack"/>
      <w:bookmarkEnd w:id="24"/>
    </w:p>
    <w:p w14:paraId="2700FA20">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1、考核内容及方式：参加信息</w:t>
      </w:r>
      <w:r>
        <w:rPr>
          <w:rFonts w:hint="eastAsia" w:ascii="Times New Roman" w:hAnsi="Times New Roman" w:cs="Times New Roman"/>
          <w:kern w:val="2"/>
          <w:sz w:val="28"/>
          <w:szCs w:val="28"/>
          <w:lang w:eastAsia="zh-Hans"/>
        </w:rPr>
        <w:t>工程</w:t>
      </w:r>
      <w:r>
        <w:rPr>
          <w:rFonts w:hint="eastAsia" w:ascii="Times New Roman" w:hAnsi="Times New Roman" w:cs="Times New Roman"/>
          <w:kern w:val="2"/>
          <w:sz w:val="28"/>
          <w:szCs w:val="28"/>
        </w:rPr>
        <w:t>学院组织的综合素质面试。在校期间学习成绩和综合素质面试，各占总成绩50%。</w:t>
      </w:r>
    </w:p>
    <w:p w14:paraId="75472AC6">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2、转入学生须在面试时向学院提供在校成绩单一份。</w:t>
      </w:r>
    </w:p>
    <w:p w14:paraId="10800F3C">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3、按总成绩从高到低的顺序在规定接收名额范围内接收转专业的学生。</w:t>
      </w:r>
    </w:p>
    <w:p w14:paraId="2DE8D18F">
      <w:pPr>
        <w:ind w:left="770" w:leftChars="100" w:hanging="560" w:hangingChars="200"/>
        <w:rPr>
          <w:rFonts w:ascii="Times New Roman" w:hAnsi="Times New Roman"/>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50BDE">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A053BA"/>
    <w:multiLevelType w:val="multilevel"/>
    <w:tmpl w:val="57A053BA"/>
    <w:lvl w:ilvl="0" w:tentative="0">
      <w:start w:val="1"/>
      <w:numFmt w:val="decimal"/>
      <w:lvlText w:val="%1、"/>
      <w:lvlJc w:val="left"/>
      <w:pPr>
        <w:ind w:left="984" w:hanging="435"/>
      </w:pPr>
      <w:rPr>
        <w:rFonts w:hint="default"/>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F75"/>
    <w:rsid w:val="000038C7"/>
    <w:rsid w:val="00007931"/>
    <w:rsid w:val="00014122"/>
    <w:rsid w:val="00015D97"/>
    <w:rsid w:val="00015F76"/>
    <w:rsid w:val="000219DE"/>
    <w:rsid w:val="00041A03"/>
    <w:rsid w:val="00043A1D"/>
    <w:rsid w:val="00054579"/>
    <w:rsid w:val="00054585"/>
    <w:rsid w:val="000550CB"/>
    <w:rsid w:val="000570EF"/>
    <w:rsid w:val="00061F31"/>
    <w:rsid w:val="00063280"/>
    <w:rsid w:val="00064E7C"/>
    <w:rsid w:val="00067B56"/>
    <w:rsid w:val="00073F39"/>
    <w:rsid w:val="000753FE"/>
    <w:rsid w:val="00075402"/>
    <w:rsid w:val="00075551"/>
    <w:rsid w:val="0008367B"/>
    <w:rsid w:val="00083C59"/>
    <w:rsid w:val="00083DED"/>
    <w:rsid w:val="00085B6D"/>
    <w:rsid w:val="00085C43"/>
    <w:rsid w:val="0008669F"/>
    <w:rsid w:val="000918CB"/>
    <w:rsid w:val="000956F1"/>
    <w:rsid w:val="000A00CF"/>
    <w:rsid w:val="000A0EB6"/>
    <w:rsid w:val="000A62DC"/>
    <w:rsid w:val="000A6911"/>
    <w:rsid w:val="000B36CB"/>
    <w:rsid w:val="000B5D50"/>
    <w:rsid w:val="000D434A"/>
    <w:rsid w:val="000D5F45"/>
    <w:rsid w:val="000D6896"/>
    <w:rsid w:val="000E7029"/>
    <w:rsid w:val="000F21AB"/>
    <w:rsid w:val="000F4F92"/>
    <w:rsid w:val="000F75CD"/>
    <w:rsid w:val="00100315"/>
    <w:rsid w:val="001125D5"/>
    <w:rsid w:val="00112D75"/>
    <w:rsid w:val="00114BF6"/>
    <w:rsid w:val="00120749"/>
    <w:rsid w:val="0012179F"/>
    <w:rsid w:val="001219A1"/>
    <w:rsid w:val="0013768B"/>
    <w:rsid w:val="00160373"/>
    <w:rsid w:val="00160624"/>
    <w:rsid w:val="00163CAB"/>
    <w:rsid w:val="00164A37"/>
    <w:rsid w:val="00164FE4"/>
    <w:rsid w:val="00175F7A"/>
    <w:rsid w:val="00176F3A"/>
    <w:rsid w:val="00182CB1"/>
    <w:rsid w:val="001856F9"/>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E3205"/>
    <w:rsid w:val="001F0F0E"/>
    <w:rsid w:val="001F75D5"/>
    <w:rsid w:val="0020389C"/>
    <w:rsid w:val="00203CC0"/>
    <w:rsid w:val="00203D4D"/>
    <w:rsid w:val="00204A76"/>
    <w:rsid w:val="00205290"/>
    <w:rsid w:val="00220184"/>
    <w:rsid w:val="00220752"/>
    <w:rsid w:val="002267CC"/>
    <w:rsid w:val="002336A9"/>
    <w:rsid w:val="002366FD"/>
    <w:rsid w:val="002426E9"/>
    <w:rsid w:val="00244444"/>
    <w:rsid w:val="00250B53"/>
    <w:rsid w:val="002737B8"/>
    <w:rsid w:val="0028070B"/>
    <w:rsid w:val="00296891"/>
    <w:rsid w:val="002B3EA2"/>
    <w:rsid w:val="002B7D5D"/>
    <w:rsid w:val="002C35DB"/>
    <w:rsid w:val="002C79DD"/>
    <w:rsid w:val="002D3A7E"/>
    <w:rsid w:val="002E0211"/>
    <w:rsid w:val="002E1F8C"/>
    <w:rsid w:val="002E6EEF"/>
    <w:rsid w:val="002E71BF"/>
    <w:rsid w:val="002F2EB1"/>
    <w:rsid w:val="002F5BD7"/>
    <w:rsid w:val="00300158"/>
    <w:rsid w:val="00302481"/>
    <w:rsid w:val="0030288B"/>
    <w:rsid w:val="003055C1"/>
    <w:rsid w:val="0030654B"/>
    <w:rsid w:val="003107AF"/>
    <w:rsid w:val="0031229B"/>
    <w:rsid w:val="00315B23"/>
    <w:rsid w:val="003237F6"/>
    <w:rsid w:val="003240F1"/>
    <w:rsid w:val="003267E6"/>
    <w:rsid w:val="003270CF"/>
    <w:rsid w:val="0033197B"/>
    <w:rsid w:val="003330F8"/>
    <w:rsid w:val="00335D33"/>
    <w:rsid w:val="00342689"/>
    <w:rsid w:val="003478C3"/>
    <w:rsid w:val="0035181D"/>
    <w:rsid w:val="00356457"/>
    <w:rsid w:val="00356F43"/>
    <w:rsid w:val="00370C26"/>
    <w:rsid w:val="00373FB1"/>
    <w:rsid w:val="003747B6"/>
    <w:rsid w:val="00377593"/>
    <w:rsid w:val="003949E2"/>
    <w:rsid w:val="003A27D2"/>
    <w:rsid w:val="003A52CE"/>
    <w:rsid w:val="003A56A5"/>
    <w:rsid w:val="003B12EC"/>
    <w:rsid w:val="003B2ACD"/>
    <w:rsid w:val="003B43E0"/>
    <w:rsid w:val="003B6D63"/>
    <w:rsid w:val="003D0082"/>
    <w:rsid w:val="003D0B78"/>
    <w:rsid w:val="003D2174"/>
    <w:rsid w:val="003D4C18"/>
    <w:rsid w:val="003E363C"/>
    <w:rsid w:val="003E52D1"/>
    <w:rsid w:val="003F1ABC"/>
    <w:rsid w:val="003F3835"/>
    <w:rsid w:val="003F6CC9"/>
    <w:rsid w:val="004019EC"/>
    <w:rsid w:val="00403D68"/>
    <w:rsid w:val="0040478D"/>
    <w:rsid w:val="00417585"/>
    <w:rsid w:val="00420AC3"/>
    <w:rsid w:val="00431108"/>
    <w:rsid w:val="0043111D"/>
    <w:rsid w:val="004357CF"/>
    <w:rsid w:val="00435EB3"/>
    <w:rsid w:val="0043676D"/>
    <w:rsid w:val="00440C76"/>
    <w:rsid w:val="004426D5"/>
    <w:rsid w:val="00446462"/>
    <w:rsid w:val="00447819"/>
    <w:rsid w:val="004521FC"/>
    <w:rsid w:val="00453E8B"/>
    <w:rsid w:val="004557EF"/>
    <w:rsid w:val="00460E23"/>
    <w:rsid w:val="00460F51"/>
    <w:rsid w:val="00471491"/>
    <w:rsid w:val="00475E2C"/>
    <w:rsid w:val="0048124A"/>
    <w:rsid w:val="00483F55"/>
    <w:rsid w:val="0048635A"/>
    <w:rsid w:val="004905D8"/>
    <w:rsid w:val="0049325A"/>
    <w:rsid w:val="00494FAB"/>
    <w:rsid w:val="004A6F37"/>
    <w:rsid w:val="004B36A7"/>
    <w:rsid w:val="004B5E17"/>
    <w:rsid w:val="004B6DF3"/>
    <w:rsid w:val="004C26DF"/>
    <w:rsid w:val="004C6D7C"/>
    <w:rsid w:val="004D0783"/>
    <w:rsid w:val="004D0A00"/>
    <w:rsid w:val="004D2E36"/>
    <w:rsid w:val="004D67EF"/>
    <w:rsid w:val="004D7D7F"/>
    <w:rsid w:val="004E0E0C"/>
    <w:rsid w:val="004E2779"/>
    <w:rsid w:val="004E3440"/>
    <w:rsid w:val="004E65F4"/>
    <w:rsid w:val="004F41EA"/>
    <w:rsid w:val="004F7FDB"/>
    <w:rsid w:val="00502073"/>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70B77"/>
    <w:rsid w:val="0057421A"/>
    <w:rsid w:val="005752CE"/>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5AB5"/>
    <w:rsid w:val="005C6D82"/>
    <w:rsid w:val="005F5F38"/>
    <w:rsid w:val="005F6959"/>
    <w:rsid w:val="00611EF5"/>
    <w:rsid w:val="0061432D"/>
    <w:rsid w:val="006150FA"/>
    <w:rsid w:val="00616201"/>
    <w:rsid w:val="006265A7"/>
    <w:rsid w:val="00631247"/>
    <w:rsid w:val="006312C7"/>
    <w:rsid w:val="006363F2"/>
    <w:rsid w:val="00636523"/>
    <w:rsid w:val="0064192A"/>
    <w:rsid w:val="00642E99"/>
    <w:rsid w:val="006437B3"/>
    <w:rsid w:val="00645BB4"/>
    <w:rsid w:val="006465FF"/>
    <w:rsid w:val="006535EE"/>
    <w:rsid w:val="0065426D"/>
    <w:rsid w:val="00654616"/>
    <w:rsid w:val="00660AC7"/>
    <w:rsid w:val="00661346"/>
    <w:rsid w:val="00661B0B"/>
    <w:rsid w:val="00663185"/>
    <w:rsid w:val="00664D0E"/>
    <w:rsid w:val="006671D7"/>
    <w:rsid w:val="00667D40"/>
    <w:rsid w:val="00672710"/>
    <w:rsid w:val="00672E2F"/>
    <w:rsid w:val="006764E6"/>
    <w:rsid w:val="006A3954"/>
    <w:rsid w:val="006A57E8"/>
    <w:rsid w:val="006B7C68"/>
    <w:rsid w:val="006D5321"/>
    <w:rsid w:val="006D567F"/>
    <w:rsid w:val="006D626A"/>
    <w:rsid w:val="006E0792"/>
    <w:rsid w:val="006E185E"/>
    <w:rsid w:val="006E2200"/>
    <w:rsid w:val="006F060A"/>
    <w:rsid w:val="006F3AC9"/>
    <w:rsid w:val="006F5F7A"/>
    <w:rsid w:val="006F6A60"/>
    <w:rsid w:val="006F71AD"/>
    <w:rsid w:val="00700B39"/>
    <w:rsid w:val="007017ED"/>
    <w:rsid w:val="00710A4D"/>
    <w:rsid w:val="00710DE0"/>
    <w:rsid w:val="007122FB"/>
    <w:rsid w:val="00713554"/>
    <w:rsid w:val="00714161"/>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3347"/>
    <w:rsid w:val="00795B51"/>
    <w:rsid w:val="007A1ED7"/>
    <w:rsid w:val="007A6510"/>
    <w:rsid w:val="007B51CD"/>
    <w:rsid w:val="007B5341"/>
    <w:rsid w:val="007C17A0"/>
    <w:rsid w:val="007C1C2C"/>
    <w:rsid w:val="007C24E0"/>
    <w:rsid w:val="007C76DE"/>
    <w:rsid w:val="007D25A3"/>
    <w:rsid w:val="007D3826"/>
    <w:rsid w:val="007D705B"/>
    <w:rsid w:val="007E3A18"/>
    <w:rsid w:val="007E4250"/>
    <w:rsid w:val="007E59E2"/>
    <w:rsid w:val="007E6A5C"/>
    <w:rsid w:val="007F16EA"/>
    <w:rsid w:val="007F3C6F"/>
    <w:rsid w:val="007F6622"/>
    <w:rsid w:val="007F7C6D"/>
    <w:rsid w:val="0080407A"/>
    <w:rsid w:val="00805465"/>
    <w:rsid w:val="008064C0"/>
    <w:rsid w:val="008070CD"/>
    <w:rsid w:val="008114D6"/>
    <w:rsid w:val="00811DEF"/>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C19B6"/>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10E3"/>
    <w:rsid w:val="00931E00"/>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3261"/>
    <w:rsid w:val="00984F3F"/>
    <w:rsid w:val="009869D0"/>
    <w:rsid w:val="00986A00"/>
    <w:rsid w:val="00991E54"/>
    <w:rsid w:val="009A5C0C"/>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5065"/>
    <w:rsid w:val="009F67DD"/>
    <w:rsid w:val="009F6954"/>
    <w:rsid w:val="009F6D85"/>
    <w:rsid w:val="009F6E8B"/>
    <w:rsid w:val="00A002E1"/>
    <w:rsid w:val="00A0076F"/>
    <w:rsid w:val="00A041AF"/>
    <w:rsid w:val="00A04285"/>
    <w:rsid w:val="00A10A0E"/>
    <w:rsid w:val="00A12F76"/>
    <w:rsid w:val="00A13D64"/>
    <w:rsid w:val="00A232E0"/>
    <w:rsid w:val="00A2389B"/>
    <w:rsid w:val="00A249E0"/>
    <w:rsid w:val="00A27FDA"/>
    <w:rsid w:val="00A35937"/>
    <w:rsid w:val="00A37D1F"/>
    <w:rsid w:val="00A430E1"/>
    <w:rsid w:val="00A43AB0"/>
    <w:rsid w:val="00A43DA5"/>
    <w:rsid w:val="00A43EEF"/>
    <w:rsid w:val="00A4448C"/>
    <w:rsid w:val="00A463C6"/>
    <w:rsid w:val="00A52F9F"/>
    <w:rsid w:val="00A6153F"/>
    <w:rsid w:val="00A61A83"/>
    <w:rsid w:val="00A70B19"/>
    <w:rsid w:val="00A72D6B"/>
    <w:rsid w:val="00A80C95"/>
    <w:rsid w:val="00A83B35"/>
    <w:rsid w:val="00A846C1"/>
    <w:rsid w:val="00A90671"/>
    <w:rsid w:val="00A91572"/>
    <w:rsid w:val="00A93C6C"/>
    <w:rsid w:val="00A968D9"/>
    <w:rsid w:val="00AA1675"/>
    <w:rsid w:val="00AA339F"/>
    <w:rsid w:val="00AA7492"/>
    <w:rsid w:val="00AC1BB0"/>
    <w:rsid w:val="00AC52CB"/>
    <w:rsid w:val="00AC66C0"/>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74B2"/>
    <w:rsid w:val="00B2016E"/>
    <w:rsid w:val="00B20347"/>
    <w:rsid w:val="00B2364B"/>
    <w:rsid w:val="00B23B19"/>
    <w:rsid w:val="00B24274"/>
    <w:rsid w:val="00B31765"/>
    <w:rsid w:val="00B40F44"/>
    <w:rsid w:val="00B41460"/>
    <w:rsid w:val="00B461D2"/>
    <w:rsid w:val="00B55A4D"/>
    <w:rsid w:val="00B57196"/>
    <w:rsid w:val="00B65F6F"/>
    <w:rsid w:val="00B74086"/>
    <w:rsid w:val="00B759D3"/>
    <w:rsid w:val="00B810A5"/>
    <w:rsid w:val="00B81731"/>
    <w:rsid w:val="00B82879"/>
    <w:rsid w:val="00B82A93"/>
    <w:rsid w:val="00B82CE9"/>
    <w:rsid w:val="00B83E1A"/>
    <w:rsid w:val="00B84527"/>
    <w:rsid w:val="00B84E07"/>
    <w:rsid w:val="00B87B17"/>
    <w:rsid w:val="00B904D9"/>
    <w:rsid w:val="00B9249C"/>
    <w:rsid w:val="00BA287D"/>
    <w:rsid w:val="00BA439B"/>
    <w:rsid w:val="00BA5AD6"/>
    <w:rsid w:val="00BA79E7"/>
    <w:rsid w:val="00BA7F55"/>
    <w:rsid w:val="00BB1386"/>
    <w:rsid w:val="00BC1535"/>
    <w:rsid w:val="00BC59AF"/>
    <w:rsid w:val="00BD12B2"/>
    <w:rsid w:val="00BE45ED"/>
    <w:rsid w:val="00BF3082"/>
    <w:rsid w:val="00BF47F7"/>
    <w:rsid w:val="00C002E9"/>
    <w:rsid w:val="00C043D4"/>
    <w:rsid w:val="00C0628F"/>
    <w:rsid w:val="00C07F9A"/>
    <w:rsid w:val="00C10ABB"/>
    <w:rsid w:val="00C1246F"/>
    <w:rsid w:val="00C13F9B"/>
    <w:rsid w:val="00C15E19"/>
    <w:rsid w:val="00C25D8C"/>
    <w:rsid w:val="00C26BC3"/>
    <w:rsid w:val="00C3015F"/>
    <w:rsid w:val="00C35E45"/>
    <w:rsid w:val="00C375E1"/>
    <w:rsid w:val="00C41112"/>
    <w:rsid w:val="00C4153A"/>
    <w:rsid w:val="00C41D9D"/>
    <w:rsid w:val="00C422FE"/>
    <w:rsid w:val="00C44058"/>
    <w:rsid w:val="00C44834"/>
    <w:rsid w:val="00C55F73"/>
    <w:rsid w:val="00C57B5F"/>
    <w:rsid w:val="00C62400"/>
    <w:rsid w:val="00C628B1"/>
    <w:rsid w:val="00C637D4"/>
    <w:rsid w:val="00C672A1"/>
    <w:rsid w:val="00C702C7"/>
    <w:rsid w:val="00C712BA"/>
    <w:rsid w:val="00C77FCF"/>
    <w:rsid w:val="00C836B7"/>
    <w:rsid w:val="00C87667"/>
    <w:rsid w:val="00CA11E2"/>
    <w:rsid w:val="00CA21A5"/>
    <w:rsid w:val="00CA253D"/>
    <w:rsid w:val="00CA5D0F"/>
    <w:rsid w:val="00CB1CFA"/>
    <w:rsid w:val="00CB3C1E"/>
    <w:rsid w:val="00CB66E2"/>
    <w:rsid w:val="00CC240B"/>
    <w:rsid w:val="00CC4385"/>
    <w:rsid w:val="00CD0094"/>
    <w:rsid w:val="00CD27A0"/>
    <w:rsid w:val="00CE47B7"/>
    <w:rsid w:val="00CF20B7"/>
    <w:rsid w:val="00CF2E7F"/>
    <w:rsid w:val="00CF3E4C"/>
    <w:rsid w:val="00CF47F2"/>
    <w:rsid w:val="00CF518A"/>
    <w:rsid w:val="00D0070B"/>
    <w:rsid w:val="00D06C3B"/>
    <w:rsid w:val="00D16F6B"/>
    <w:rsid w:val="00D20251"/>
    <w:rsid w:val="00D20C38"/>
    <w:rsid w:val="00D2283C"/>
    <w:rsid w:val="00D22D92"/>
    <w:rsid w:val="00D25D76"/>
    <w:rsid w:val="00D31CD5"/>
    <w:rsid w:val="00D323D2"/>
    <w:rsid w:val="00D323E1"/>
    <w:rsid w:val="00D365D8"/>
    <w:rsid w:val="00D450E8"/>
    <w:rsid w:val="00D55D97"/>
    <w:rsid w:val="00D56184"/>
    <w:rsid w:val="00D65510"/>
    <w:rsid w:val="00D6676C"/>
    <w:rsid w:val="00D670E0"/>
    <w:rsid w:val="00D8011F"/>
    <w:rsid w:val="00D82139"/>
    <w:rsid w:val="00D84061"/>
    <w:rsid w:val="00D8446B"/>
    <w:rsid w:val="00D916E4"/>
    <w:rsid w:val="00D95A9A"/>
    <w:rsid w:val="00D9726C"/>
    <w:rsid w:val="00DA2036"/>
    <w:rsid w:val="00DA2FBE"/>
    <w:rsid w:val="00DA46F4"/>
    <w:rsid w:val="00DA7EB2"/>
    <w:rsid w:val="00DB2F7F"/>
    <w:rsid w:val="00DB3B11"/>
    <w:rsid w:val="00DB5CD3"/>
    <w:rsid w:val="00DB69DA"/>
    <w:rsid w:val="00DC13A9"/>
    <w:rsid w:val="00DD1501"/>
    <w:rsid w:val="00DD160C"/>
    <w:rsid w:val="00DE7900"/>
    <w:rsid w:val="00DF51C1"/>
    <w:rsid w:val="00DF6AD0"/>
    <w:rsid w:val="00E04245"/>
    <w:rsid w:val="00E07780"/>
    <w:rsid w:val="00E170EB"/>
    <w:rsid w:val="00E31AD2"/>
    <w:rsid w:val="00E34483"/>
    <w:rsid w:val="00E3728A"/>
    <w:rsid w:val="00E41BD6"/>
    <w:rsid w:val="00E44CD2"/>
    <w:rsid w:val="00E451EE"/>
    <w:rsid w:val="00E47175"/>
    <w:rsid w:val="00E472B3"/>
    <w:rsid w:val="00E500C8"/>
    <w:rsid w:val="00E52F55"/>
    <w:rsid w:val="00E553C4"/>
    <w:rsid w:val="00E57E9B"/>
    <w:rsid w:val="00E62309"/>
    <w:rsid w:val="00E62FF7"/>
    <w:rsid w:val="00E65AE3"/>
    <w:rsid w:val="00E7059A"/>
    <w:rsid w:val="00E7655A"/>
    <w:rsid w:val="00E76D61"/>
    <w:rsid w:val="00E91A17"/>
    <w:rsid w:val="00E94D09"/>
    <w:rsid w:val="00EA1533"/>
    <w:rsid w:val="00EA2D09"/>
    <w:rsid w:val="00EA343B"/>
    <w:rsid w:val="00EB1061"/>
    <w:rsid w:val="00EB1A02"/>
    <w:rsid w:val="00EB4BCF"/>
    <w:rsid w:val="00EB4FEC"/>
    <w:rsid w:val="00EB7786"/>
    <w:rsid w:val="00EC0B90"/>
    <w:rsid w:val="00EC7D69"/>
    <w:rsid w:val="00ED0974"/>
    <w:rsid w:val="00ED30E5"/>
    <w:rsid w:val="00ED4ABE"/>
    <w:rsid w:val="00ED5555"/>
    <w:rsid w:val="00ED6758"/>
    <w:rsid w:val="00ED6EF9"/>
    <w:rsid w:val="00EE5721"/>
    <w:rsid w:val="00EE5A77"/>
    <w:rsid w:val="00EF0092"/>
    <w:rsid w:val="00EF27B8"/>
    <w:rsid w:val="00EF7B88"/>
    <w:rsid w:val="00F01654"/>
    <w:rsid w:val="00F031F3"/>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55B83"/>
    <w:rsid w:val="00F60087"/>
    <w:rsid w:val="00F62792"/>
    <w:rsid w:val="00F7423C"/>
    <w:rsid w:val="00F755C4"/>
    <w:rsid w:val="00F83875"/>
    <w:rsid w:val="00F86BCB"/>
    <w:rsid w:val="00F95516"/>
    <w:rsid w:val="00F9645B"/>
    <w:rsid w:val="00F97B2C"/>
    <w:rsid w:val="00FA3B67"/>
    <w:rsid w:val="00FA540C"/>
    <w:rsid w:val="00FB62A6"/>
    <w:rsid w:val="00FC3BE4"/>
    <w:rsid w:val="00FD4FA5"/>
    <w:rsid w:val="00FD6043"/>
    <w:rsid w:val="00FE2E5F"/>
    <w:rsid w:val="00FE3F1A"/>
    <w:rsid w:val="00FF13E9"/>
    <w:rsid w:val="00FF21B3"/>
    <w:rsid w:val="00FF4A2F"/>
    <w:rsid w:val="08D874E5"/>
    <w:rsid w:val="10B14846"/>
    <w:rsid w:val="11A73E17"/>
    <w:rsid w:val="39E22AE7"/>
    <w:rsid w:val="3FC3516B"/>
    <w:rsid w:val="48340C07"/>
    <w:rsid w:val="4A1E076C"/>
    <w:rsid w:val="4B4F6F23"/>
    <w:rsid w:val="4B8F64AC"/>
    <w:rsid w:val="4F4F5C5C"/>
    <w:rsid w:val="5B500161"/>
    <w:rsid w:val="5EEA557B"/>
    <w:rsid w:val="63B45DF5"/>
    <w:rsid w:val="678B1ADC"/>
    <w:rsid w:val="68157DCA"/>
    <w:rsid w:val="6A5940F7"/>
    <w:rsid w:val="6AE71072"/>
    <w:rsid w:val="6B131173"/>
    <w:rsid w:val="716A556C"/>
    <w:rsid w:val="769B351C"/>
    <w:rsid w:val="7FF3B180"/>
    <w:rsid w:val="EFAFCE5B"/>
    <w:rsid w:val="F97B3FC6"/>
    <w:rsid w:val="FFDE24B1"/>
    <w:rsid w:val="FFFF4D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Lines="100" w:afterLines="100"/>
      <w:ind w:firstLine="627" w:firstLineChars="196"/>
      <w:outlineLvl w:val="0"/>
    </w:pPr>
    <w:rPr>
      <w:rFonts w:ascii="黑体" w:hAnsi="黑体" w:eastAsia="黑体"/>
      <w:color w:val="000000"/>
      <w:sz w:val="32"/>
      <w:szCs w:val="32"/>
    </w:rPr>
  </w:style>
  <w:style w:type="paragraph" w:styleId="3">
    <w:name w:val="heading 2"/>
    <w:basedOn w:val="1"/>
    <w:next w:val="1"/>
    <w:link w:val="20"/>
    <w:qFormat/>
    <w:uiPriority w:val="99"/>
    <w:pPr>
      <w:adjustRightInd w:val="0"/>
      <w:snapToGrid w:val="0"/>
      <w:spacing w:beforeLines="50" w:afterLines="50"/>
      <w:ind w:firstLine="560" w:firstLineChars="200"/>
      <w:outlineLvl w:val="1"/>
    </w:pPr>
    <w:rPr>
      <w:rFonts w:ascii="黑体" w:hAnsi="黑体" w:eastAsia="黑体"/>
      <w:color w:val="000000"/>
      <w:sz w:val="28"/>
      <w:szCs w:val="28"/>
    </w:rPr>
  </w:style>
  <w:style w:type="paragraph" w:styleId="4">
    <w:name w:val="heading 3"/>
    <w:basedOn w:val="1"/>
    <w:next w:val="1"/>
    <w:link w:val="21"/>
    <w:qFormat/>
    <w:uiPriority w:val="99"/>
    <w:pPr>
      <w:autoSpaceDE w:val="0"/>
      <w:autoSpaceDN w:val="0"/>
      <w:adjustRightInd w:val="0"/>
      <w:spacing w:line="360" w:lineRule="auto"/>
      <w:ind w:firstLine="516" w:firstLineChars="214"/>
      <w:outlineLvl w:val="2"/>
    </w:pPr>
    <w:rPr>
      <w:rFonts w:ascii="宋体" w:hAnsi="宋体" w:cs="仿宋_GB2312"/>
      <w:b/>
      <w:bCs/>
      <w:sz w:val="24"/>
      <w:szCs w:val="24"/>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rPr>
      <w:kern w:val="0"/>
      <w:sz w:val="24"/>
      <w:szCs w:val="20"/>
    </w:rPr>
  </w:style>
  <w:style w:type="paragraph" w:styleId="6">
    <w:name w:val="Plain Text"/>
    <w:basedOn w:val="1"/>
    <w:link w:val="31"/>
    <w:qFormat/>
    <w:uiPriority w:val="0"/>
    <w:rPr>
      <w:rFonts w:ascii="宋体" w:hAnsi="Courier New" w:cs="Courier New"/>
      <w:iCs/>
      <w:color w:val="000000"/>
      <w:szCs w:val="21"/>
    </w:rPr>
  </w:style>
  <w:style w:type="paragraph" w:styleId="7">
    <w:name w:val="Balloon Text"/>
    <w:basedOn w:val="1"/>
    <w:link w:val="26"/>
    <w:semiHidden/>
    <w:qFormat/>
    <w:uiPriority w:val="99"/>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5"/>
    <w:next w:val="5"/>
    <w:link w:val="27"/>
    <w:semiHidden/>
    <w:qFormat/>
    <w:uiPriority w:val="99"/>
    <w:rPr>
      <w:b/>
      <w:bCs/>
      <w:szCs w:val="2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single"/>
    </w:rPr>
  </w:style>
  <w:style w:type="character" w:styleId="16">
    <w:name w:val="Emphasis"/>
    <w:basedOn w:val="14"/>
    <w:qFormat/>
    <w:locked/>
    <w:uiPriority w:val="20"/>
    <w:rPr>
      <w:i/>
      <w:iCs/>
    </w:rPr>
  </w:style>
  <w:style w:type="character" w:styleId="17">
    <w:name w:val="Hyperlink"/>
    <w:basedOn w:val="14"/>
    <w:qFormat/>
    <w:uiPriority w:val="99"/>
    <w:rPr>
      <w:rFonts w:cs="Times New Roman"/>
      <w:color w:val="0000FF"/>
      <w:u w:val="single"/>
    </w:rPr>
  </w:style>
  <w:style w:type="character" w:styleId="18">
    <w:name w:val="annotation reference"/>
    <w:basedOn w:val="14"/>
    <w:qFormat/>
    <w:uiPriority w:val="0"/>
    <w:rPr>
      <w:rFonts w:cs="Times New Roman"/>
      <w:sz w:val="21"/>
    </w:rPr>
  </w:style>
  <w:style w:type="character" w:customStyle="1" w:styleId="19">
    <w:name w:val="标题 1 字符"/>
    <w:basedOn w:val="14"/>
    <w:link w:val="2"/>
    <w:qFormat/>
    <w:locked/>
    <w:uiPriority w:val="99"/>
    <w:rPr>
      <w:rFonts w:ascii="黑体" w:hAnsi="黑体" w:eastAsia="黑体" w:cs="Times New Roman"/>
      <w:color w:val="000000"/>
      <w:sz w:val="32"/>
      <w:szCs w:val="32"/>
    </w:rPr>
  </w:style>
  <w:style w:type="character" w:customStyle="1" w:styleId="20">
    <w:name w:val="标题 2 字符"/>
    <w:basedOn w:val="14"/>
    <w:link w:val="3"/>
    <w:qFormat/>
    <w:locked/>
    <w:uiPriority w:val="99"/>
    <w:rPr>
      <w:rFonts w:ascii="黑体" w:hAnsi="黑体" w:eastAsia="黑体" w:cs="Times New Roman"/>
      <w:color w:val="000000"/>
      <w:sz w:val="28"/>
      <w:szCs w:val="28"/>
    </w:rPr>
  </w:style>
  <w:style w:type="character" w:customStyle="1" w:styleId="21">
    <w:name w:val="标题 3 字符"/>
    <w:basedOn w:val="14"/>
    <w:link w:val="4"/>
    <w:qFormat/>
    <w:locked/>
    <w:uiPriority w:val="99"/>
    <w:rPr>
      <w:rFonts w:ascii="宋体" w:eastAsia="宋体" w:cs="仿宋_GB2312"/>
      <w:b/>
      <w:bCs/>
      <w:sz w:val="24"/>
      <w:szCs w:val="24"/>
    </w:rPr>
  </w:style>
  <w:style w:type="character" w:customStyle="1" w:styleId="22">
    <w:name w:val="Comment Text Char"/>
    <w:qFormat/>
    <w:locked/>
    <w:uiPriority w:val="99"/>
    <w:rPr>
      <w:rFonts w:eastAsia="宋体"/>
      <w:sz w:val="24"/>
    </w:rPr>
  </w:style>
  <w:style w:type="character" w:customStyle="1" w:styleId="23">
    <w:name w:val="批注文字 字符"/>
    <w:basedOn w:val="14"/>
    <w:link w:val="5"/>
    <w:qFormat/>
    <w:locked/>
    <w:uiPriority w:val="0"/>
    <w:rPr>
      <w:rFonts w:cs="Times New Roman"/>
    </w:rPr>
  </w:style>
  <w:style w:type="character" w:customStyle="1" w:styleId="24">
    <w:name w:val="批注文字 Char1"/>
    <w:basedOn w:val="14"/>
    <w:semiHidden/>
    <w:qFormat/>
    <w:uiPriority w:val="99"/>
    <w:rPr>
      <w:rFonts w:cs="Times New Roman"/>
    </w:rPr>
  </w:style>
  <w:style w:type="paragraph" w:customStyle="1" w:styleId="25">
    <w:name w:val="Char Char Char Char"/>
    <w:basedOn w:val="1"/>
    <w:qFormat/>
    <w:uiPriority w:val="99"/>
    <w:pPr>
      <w:widowControl/>
      <w:spacing w:after="160" w:line="240" w:lineRule="exact"/>
      <w:jc w:val="left"/>
    </w:pPr>
    <w:rPr>
      <w:rFonts w:ascii="Times New Roman" w:hAnsi="Times New Roman"/>
      <w:szCs w:val="24"/>
    </w:rPr>
  </w:style>
  <w:style w:type="character" w:customStyle="1" w:styleId="26">
    <w:name w:val="批注框文本 字符"/>
    <w:basedOn w:val="14"/>
    <w:link w:val="7"/>
    <w:semiHidden/>
    <w:qFormat/>
    <w:locked/>
    <w:uiPriority w:val="99"/>
    <w:rPr>
      <w:rFonts w:cs="Times New Roman"/>
      <w:sz w:val="18"/>
      <w:szCs w:val="18"/>
    </w:rPr>
  </w:style>
  <w:style w:type="character" w:customStyle="1" w:styleId="27">
    <w:name w:val="批注主题 字符"/>
    <w:basedOn w:val="22"/>
    <w:link w:val="11"/>
    <w:semiHidden/>
    <w:qFormat/>
    <w:locked/>
    <w:uiPriority w:val="99"/>
    <w:rPr>
      <w:rFonts w:eastAsia="宋体" w:cs="Times New Roman"/>
      <w:b/>
      <w:bCs/>
      <w:sz w:val="24"/>
      <w:szCs w:val="24"/>
    </w:rPr>
  </w:style>
  <w:style w:type="character" w:customStyle="1" w:styleId="28">
    <w:name w:val="页脚 字符"/>
    <w:basedOn w:val="14"/>
    <w:link w:val="8"/>
    <w:qFormat/>
    <w:locked/>
    <w:uiPriority w:val="99"/>
    <w:rPr>
      <w:rFonts w:cs="Times New Roman"/>
      <w:sz w:val="18"/>
      <w:szCs w:val="18"/>
    </w:rPr>
  </w:style>
  <w:style w:type="character" w:customStyle="1" w:styleId="29">
    <w:name w:val="页眉 字符"/>
    <w:basedOn w:val="14"/>
    <w:link w:val="9"/>
    <w:semiHidden/>
    <w:qFormat/>
    <w:locked/>
    <w:uiPriority w:val="99"/>
    <w:rPr>
      <w:rFonts w:cs="Times New Roman"/>
      <w:sz w:val="18"/>
      <w:szCs w:val="18"/>
    </w:rPr>
  </w:style>
  <w:style w:type="character" w:customStyle="1" w:styleId="30">
    <w:name w:val="Plain Text Char"/>
    <w:basedOn w:val="14"/>
    <w:semiHidden/>
    <w:qFormat/>
    <w:locked/>
    <w:uiPriority w:val="99"/>
    <w:rPr>
      <w:rFonts w:ascii="宋体" w:hAnsi="Courier New" w:cs="Courier New"/>
      <w:sz w:val="21"/>
      <w:szCs w:val="21"/>
    </w:rPr>
  </w:style>
  <w:style w:type="character" w:customStyle="1" w:styleId="31">
    <w:name w:val="纯文本 字符"/>
    <w:basedOn w:val="14"/>
    <w:link w:val="6"/>
    <w:qFormat/>
    <w:locked/>
    <w:uiPriority w:val="99"/>
    <w:rPr>
      <w:rFonts w:ascii="宋体" w:hAnsi="Courier New" w:eastAsia="宋体" w:cs="Courier New"/>
      <w:iCs/>
      <w:color w:val="000000"/>
      <w:kern w:val="2"/>
      <w:sz w:val="21"/>
      <w:szCs w:val="21"/>
      <w:lang w:val="en-US" w:eastAsia="zh-CN" w:bidi="ar-SA"/>
    </w:rPr>
  </w:style>
  <w:style w:type="character" w:customStyle="1" w:styleId="32">
    <w:name w:val="apple-converted-space"/>
    <w:basedOn w:val="14"/>
    <w:qFormat/>
    <w:uiPriority w:val="99"/>
    <w:rPr>
      <w:rFonts w:cs="Times New Roman"/>
    </w:rPr>
  </w:style>
  <w:style w:type="paragraph" w:customStyle="1" w:styleId="33">
    <w:name w:val="List Paragraph1"/>
    <w:basedOn w:val="1"/>
    <w:qFormat/>
    <w:uiPriority w:val="99"/>
    <w:pPr>
      <w:ind w:firstLine="420" w:firstLineChars="200"/>
    </w:p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xl66"/>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67"/>
    <w:basedOn w:val="1"/>
    <w:qFormat/>
    <w:uiPriority w:val="0"/>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4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4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8">
    <w:name w:val="xl78"/>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rPr>
  </w:style>
  <w:style w:type="paragraph" w:customStyle="1" w:styleId="50">
    <w:name w:val="xl80"/>
    <w:basedOn w:val="1"/>
    <w:qFormat/>
    <w:uiPriority w:val="0"/>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51">
    <w:name w:val="xl81"/>
    <w:basedOn w:val="1"/>
    <w:qFormat/>
    <w:uiPriority w:val="0"/>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4">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8"/>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59">
    <w:name w:val="xl89"/>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60">
    <w:name w:val="xl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61">
    <w:name w:val="xl9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
    <w:name w:val="xl9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7">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8">
    <w:name w:val="xl9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9">
    <w:name w:val="xl99"/>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70">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7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10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3">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4">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5">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6">
    <w:name w:val="xl106"/>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7">
    <w:name w:val="xl107"/>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8">
    <w:name w:val="xl108"/>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79">
    <w:name w:val="xl10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80">
    <w:name w:val="xl110"/>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111"/>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82">
    <w:name w:val="xl11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
    <w:name w:val="xl11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xl11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
    <w:name w:val="xl11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
    <w:name w:val="xl11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7">
    <w:name w:val="xl117"/>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88">
    <w:name w:val="xl118"/>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119"/>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0">
    <w:name w:val="xl120"/>
    <w:basedOn w:val="1"/>
    <w:qFormat/>
    <w:uiPriority w:val="0"/>
    <w:pPr>
      <w:widowControl/>
      <w:pBdr>
        <w:left w:val="single" w:color="auto" w:sz="4" w:space="0"/>
      </w:pBdr>
      <w:spacing w:before="100" w:beforeAutospacing="1" w:after="100" w:afterAutospacing="1"/>
      <w:jc w:val="center"/>
    </w:pPr>
    <w:rPr>
      <w:rFonts w:ascii="宋体" w:hAnsi="宋体" w:cs="宋体"/>
      <w:kern w:val="0"/>
      <w:sz w:val="24"/>
      <w:szCs w:val="24"/>
    </w:rPr>
  </w:style>
  <w:style w:type="paragraph" w:customStyle="1" w:styleId="91">
    <w:name w:val="xl121"/>
    <w:basedOn w:val="1"/>
    <w:qFormat/>
    <w:uiPriority w:val="0"/>
    <w:pPr>
      <w:widowControl/>
      <w:pBdr>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12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93">
    <w:name w:val="xl12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4">
    <w:name w:val="xl1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5">
    <w:name w:val="xl1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xl127"/>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8">
    <w:name w:val="xl128"/>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9">
    <w:name w:val="xl129"/>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100">
    <w:name w:val="xl130"/>
    <w:basedOn w:val="1"/>
    <w:qFormat/>
    <w:uiPriority w:val="0"/>
    <w:pPr>
      <w:widowControl/>
      <w:pBdr>
        <w:top w:val="single" w:color="auto" w:sz="4" w:space="0"/>
      </w:pBdr>
      <w:spacing w:before="100" w:beforeAutospacing="1" w:after="100" w:afterAutospacing="1"/>
      <w:jc w:val="center"/>
    </w:pPr>
    <w:rPr>
      <w:rFonts w:ascii="宋体" w:hAnsi="宋体" w:cs="宋体"/>
      <w:kern w:val="0"/>
      <w:sz w:val="24"/>
      <w:szCs w:val="24"/>
    </w:rPr>
  </w:style>
  <w:style w:type="paragraph" w:customStyle="1" w:styleId="101">
    <w:name w:val="xl13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02">
    <w:name w:val="xl132"/>
    <w:basedOn w:val="1"/>
    <w:qFormat/>
    <w:uiPriority w:val="0"/>
    <w:pPr>
      <w:widowControl/>
      <w:pBdr>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3">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13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5">
    <w:name w:val="xl1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styleId="106">
    <w:name w:val="List Paragraph"/>
    <w:basedOn w:val="1"/>
    <w:qFormat/>
    <w:uiPriority w:val="34"/>
    <w:pPr>
      <w:widowControl/>
      <w:ind w:firstLine="420" w:firstLineChars="200"/>
      <w:jc w:val="left"/>
    </w:pPr>
    <w:rPr>
      <w:rFonts w:ascii="宋体" w:hAnsi="宋体" w:cs="宋体"/>
      <w:kern w:val="0"/>
      <w:sz w:val="24"/>
      <w:szCs w:val="24"/>
    </w:rPr>
  </w:style>
  <w:style w:type="paragraph" w:customStyle="1" w:styleId="107">
    <w:name w:val="表格"/>
    <w:basedOn w:val="1"/>
    <w:link w:val="108"/>
    <w:qFormat/>
    <w:uiPriority w:val="0"/>
    <w:pPr>
      <w:jc w:val="center"/>
    </w:pPr>
    <w:rPr>
      <w:szCs w:val="21"/>
    </w:rPr>
  </w:style>
  <w:style w:type="character" w:customStyle="1" w:styleId="108">
    <w:name w:val="表格 字符"/>
    <w:basedOn w:val="14"/>
    <w:link w:val="107"/>
    <w:qFormat/>
    <w:uiPriority w:val="0"/>
    <w:rPr>
      <w:rFonts w:ascii="Calibri" w:hAnsi="Calibri"/>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1549</Words>
  <Characters>1599</Characters>
  <Lines>11</Lines>
  <Paragraphs>3</Paragraphs>
  <TotalTime>5</TotalTime>
  <ScaleCrop>false</ScaleCrop>
  <LinksUpToDate>false</LinksUpToDate>
  <CharactersWithSpaces>1608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2018-09-13T07:17:00Z</dcterms:created>
  <dc:creator>王涛</dc:creator>
  <cp:lastModifiedBy>竹君</cp:lastModifiedBy>
  <dcterms:modified xsi:type="dcterms:W3CDTF">2025-12-23T07:09:36Z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40F9FB719D8DC0962D83916204AD5551</vt:lpwstr>
  </property>
  <property fmtid="{D5CDD505-2E9C-101B-9397-08002B2CF9AE}" pid="4" name="KSOTemplateDocerSaveRecord">
    <vt:lpwstr>eyJoZGlkIjoiMGQxZTQ4ZWQwN2VjYzM0OGQ1Y2NhY2I0MTQ3YjVkYmUiLCJ1c2VySWQiOiI4OTA1OTA3NjAifQ==</vt:lpwstr>
  </property>
</Properties>
</file>